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-598805</wp:posOffset>
            </wp:positionV>
            <wp:extent cx="56515" cy="612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635635</wp:posOffset>
            </wp:positionV>
            <wp:extent cx="7049135" cy="8841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41740"/>
                    </a:xfrm>
                    <a:prstGeom prst="rect">
                      <a:avLst/>
                    </a:prstGeom>
                    <a:noFill/>
                  </pic:spPr>
                </pic:pic>
              </a:graphicData>
            </a:graphic>
          </wp:anchor>
        </w:drawing>
      </w:r>
    </w:p>
    <w:p>
      <w:pPr>
        <w:spacing w:after="0" w:line="1071"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ARNOLD JEFFREY T</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SHARECARE, INC.</w:t>
      </w:r>
    </w:p>
    <w:p>
      <w:pPr>
        <w:spacing w:after="0" w:line="6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255 E. PACES FERRY RD. NE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Sharecare,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10/22/2024</w:t>
      </w:r>
    </w:p>
    <w:p>
      <w:pPr>
        <w:spacing w:after="0" w:line="20" w:lineRule="exact"/>
        <w:rPr>
          <w:sz w:val="24"/>
          <w:szCs w:val="24"/>
          <w:color w:val="auto"/>
        </w:rPr>
      </w:pPr>
      <w:r>
        <w:rPr>
          <w:sz w:val="24"/>
          <w:szCs w:val="24"/>
          <w:color w:val="auto"/>
        </w:rPr>
        <w:br w:type="column"/>
      </w:r>
    </w:p>
    <w:p>
      <w:pPr>
        <w:ind w:right="740"/>
        <w:spacing w:after="0" w:line="276"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17"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747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47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0000FF"/>
        </w:rPr>
        <w:t>Co-Founder and Executive Chair</w:t>
      </w:r>
    </w:p>
    <w:p>
      <w:pPr>
        <w:spacing w:after="0" w:line="520" w:lineRule="exact"/>
        <w:rPr>
          <w:sz w:val="24"/>
          <w:szCs w:val="24"/>
          <w:color w:val="auto"/>
        </w:rPr>
      </w:pPr>
    </w:p>
    <w:p>
      <w:pPr>
        <w:sectPr>
          <w:pgSz w:w="11900" w:h="16838" w:orient="portrait"/>
          <w:cols w:equalWidth="0" w:num="3">
            <w:col w:w="3180" w:space="720"/>
            <w:col w:w="3120" w:space="720"/>
            <w:col w:w="3340"/>
          </w:cols>
          <w:pgMar w:left="460" w:top="213" w:right="35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14"/>
                <w:szCs w:val="14"/>
                <w:color w:val="auto"/>
              </w:rPr>
            </w:pPr>
          </w:p>
        </w:tc>
        <w:tc>
          <w:tcPr>
            <w:tcW w:w="3760" w:type="dxa"/>
            <w:vAlign w:val="bottom"/>
            <w:gridSpan w:val="10"/>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ATLANTA</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GA</w:t>
            </w:r>
          </w:p>
        </w:tc>
        <w:tc>
          <w:tcPr>
            <w:tcW w:w="10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30305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tcPr>
          <w:p>
            <w:pPr>
              <w:ind w:left="160"/>
              <w:spacing w:after="0" w:line="12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40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ind w:left="90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3"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jc w:val="center"/>
              <w:ind w:left="796"/>
              <w:spacing w:after="0" w:line="123"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3"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72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gridSpan w:val="5"/>
            <w:vMerge w:val="restart"/>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line="123" w:lineRule="exact"/>
              <w:rPr>
                <w:sz w:val="20"/>
                <w:szCs w:val="20"/>
                <w:color w:val="auto"/>
              </w:rPr>
            </w:pPr>
            <w:r>
              <w:rPr>
                <w:rFonts w:ascii="Arial" w:cs="Arial" w:eastAsia="Arial" w:hAnsi="Arial"/>
                <w:sz w:val="11"/>
                <w:szCs w:val="11"/>
                <w:b w:val="1"/>
                <w:bCs w:val="1"/>
                <w:color w:val="auto"/>
                <w:w w:val="95"/>
              </w:rPr>
              <w:t>(A) or</w:t>
            </w:r>
          </w:p>
        </w:tc>
        <w:tc>
          <w:tcPr>
            <w:tcW w:w="720" w:type="dxa"/>
            <w:vAlign w:val="bottom"/>
            <w:vMerge w:val="restart"/>
          </w:tcPr>
          <w:p>
            <w:pPr>
              <w:jc w:val="right"/>
              <w:ind w:right="194"/>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3"/>
          </w:tcPr>
          <w:p>
            <w:pPr>
              <w:jc w:val="center"/>
              <w:ind w:right="78"/>
              <w:spacing w:after="0"/>
              <w:rPr>
                <w:sz w:val="20"/>
                <w:szCs w:val="20"/>
                <w:color w:val="auto"/>
              </w:rPr>
            </w:pPr>
            <w:r>
              <w:rPr>
                <w:rFonts w:ascii="Times New Roman" w:cs="Times New Roman" w:eastAsia="Times New Roman" w:hAnsi="Times New Roman"/>
                <w:sz w:val="16"/>
                <w:szCs w:val="16"/>
                <w:color w:val="0000FF"/>
                <w:w w:val="98"/>
              </w:rPr>
              <w:t>10/22/2024</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0000FF"/>
              </w:rPr>
              <w:t>D</w:t>
            </w:r>
          </w:p>
        </w:tc>
        <w:tc>
          <w:tcPr>
            <w:tcW w:w="110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0000FF"/>
                <w:w w:val="99"/>
              </w:rPr>
              <w:t>4,519,024</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0000FF"/>
              </w:rPr>
              <w:t>0</w:t>
            </w:r>
          </w:p>
        </w:tc>
        <w:tc>
          <w:tcPr>
            <w:tcW w:w="740" w:type="dxa"/>
            <w:vAlign w:val="bottom"/>
          </w:tcPr>
          <w:p>
            <w:pPr>
              <w:spacing w:after="0"/>
              <w:rPr>
                <w:sz w:val="21"/>
                <w:szCs w:val="21"/>
                <w:color w:val="auto"/>
              </w:rPr>
            </w:pPr>
          </w:p>
        </w:tc>
        <w:tc>
          <w:tcPr>
            <w:tcW w:w="56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w w:val="86"/>
              </w:rPr>
              <w:t>D</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3"/>
          </w:tcPr>
          <w:p>
            <w:pPr>
              <w:jc w:val="center"/>
              <w:ind w:right="78"/>
              <w:spacing w:after="0"/>
              <w:rPr>
                <w:sz w:val="20"/>
                <w:szCs w:val="20"/>
                <w:color w:val="auto"/>
              </w:rPr>
            </w:pPr>
            <w:r>
              <w:rPr>
                <w:rFonts w:ascii="Times New Roman" w:cs="Times New Roman" w:eastAsia="Times New Roman" w:hAnsi="Times New Roman"/>
                <w:sz w:val="16"/>
                <w:szCs w:val="16"/>
                <w:color w:val="0000FF"/>
                <w:w w:val="98"/>
              </w:rPr>
              <w:t>10/22/2024</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0000FF"/>
              </w:rPr>
              <w:t>D</w:t>
            </w:r>
          </w:p>
        </w:tc>
        <w:tc>
          <w:tcPr>
            <w:tcW w:w="110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0000FF"/>
                <w:w w:val="99"/>
              </w:rPr>
              <w:t>678,664</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0000FF"/>
              </w:rPr>
              <w:t>0</w:t>
            </w:r>
          </w:p>
        </w:tc>
        <w:tc>
          <w:tcPr>
            <w:tcW w:w="740" w:type="dxa"/>
            <w:vAlign w:val="bottom"/>
          </w:tcPr>
          <w:p>
            <w:pPr>
              <w:spacing w:after="0"/>
              <w:rPr>
                <w:sz w:val="21"/>
                <w:szCs w:val="21"/>
                <w:color w:val="auto"/>
              </w:rPr>
            </w:pPr>
          </w:p>
        </w:tc>
        <w:tc>
          <w:tcPr>
            <w:tcW w:w="56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w w:val="86"/>
              </w:rPr>
              <w:t>D</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JT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3"/>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8"/>
              </w:rPr>
              <w:t>10/22/2024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restart"/>
          </w:tcPr>
          <w:p>
            <w:pPr>
              <w:jc w:val="center"/>
              <w:ind w:right="201"/>
              <w:spacing w:after="0"/>
              <w:rPr>
                <w:sz w:val="20"/>
                <w:szCs w:val="20"/>
                <w:color w:val="auto"/>
              </w:rPr>
            </w:pPr>
            <w:r>
              <w:rPr>
                <w:rFonts w:ascii="Times New Roman" w:cs="Times New Roman" w:eastAsia="Times New Roman" w:hAnsi="Times New Roman"/>
                <w:sz w:val="12"/>
                <w:szCs w:val="12"/>
                <w:color w:val="0000FF"/>
              </w:rPr>
              <w:t>D</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3,037,894</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6"/>
                <w:szCs w:val="16"/>
                <w:color w:val="0000FF"/>
              </w:rPr>
              <w:t>0</w:t>
            </w:r>
          </w:p>
        </w:tc>
        <w:tc>
          <w:tcPr>
            <w:tcW w:w="740" w:type="dxa"/>
            <w:vAlign w:val="bottom"/>
          </w:tcPr>
          <w:p>
            <w:pPr>
              <w:spacing w:after="0"/>
              <w:rPr>
                <w:sz w:val="17"/>
                <w:szCs w:val="17"/>
                <w:color w:val="auto"/>
              </w:rPr>
            </w:pPr>
          </w:p>
        </w:tc>
        <w:tc>
          <w:tcPr>
            <w:tcW w:w="560" w:type="dxa"/>
            <w:vAlign w:val="bottom"/>
            <w:vMerge w:val="restart"/>
          </w:tcPr>
          <w:p>
            <w:pPr>
              <w:jc w:val="center"/>
              <w:ind w:right="316"/>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Arnold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Enterprises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0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II, LLLP</w:t>
            </w:r>
            <w:r>
              <w:rPr>
                <w:rFonts w:ascii="Times New Roman" w:cs="Times New Roman" w:eastAsia="Times New Roman" w:hAnsi="Times New Roman"/>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Arnold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3"/>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8"/>
              </w:rPr>
              <w:t>10/22/2024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restart"/>
          </w:tcPr>
          <w:p>
            <w:pPr>
              <w:jc w:val="center"/>
              <w:ind w:right="201"/>
              <w:spacing w:after="0"/>
              <w:rPr>
                <w:sz w:val="20"/>
                <w:szCs w:val="20"/>
                <w:color w:val="auto"/>
              </w:rPr>
            </w:pPr>
            <w:r>
              <w:rPr>
                <w:rFonts w:ascii="Times New Roman" w:cs="Times New Roman" w:eastAsia="Times New Roman" w:hAnsi="Times New Roman"/>
                <w:sz w:val="12"/>
                <w:szCs w:val="12"/>
                <w:color w:val="0000FF"/>
              </w:rPr>
              <w:t>D</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2,442,749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6"/>
                <w:szCs w:val="16"/>
                <w:color w:val="0000FF"/>
              </w:rPr>
              <w:t>0</w:t>
            </w:r>
          </w:p>
        </w:tc>
        <w:tc>
          <w:tcPr>
            <w:tcW w:w="740" w:type="dxa"/>
            <w:vAlign w:val="bottom"/>
          </w:tcPr>
          <w:p>
            <w:pPr>
              <w:spacing w:after="0"/>
              <w:rPr>
                <w:sz w:val="17"/>
                <w:szCs w:val="17"/>
                <w:color w:val="auto"/>
              </w:rPr>
            </w:pPr>
          </w:p>
        </w:tc>
        <w:tc>
          <w:tcPr>
            <w:tcW w:w="560" w:type="dxa"/>
            <w:vAlign w:val="bottom"/>
            <w:vMerge w:val="restart"/>
          </w:tcPr>
          <w:p>
            <w:pPr>
              <w:jc w:val="center"/>
              <w:ind w:right="316"/>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13"/>
          </w:tcPr>
          <w:p>
            <w:pPr>
              <w:jc w:val="center"/>
              <w:ind w:right="10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20" w:type="dxa"/>
            <w:vAlign w:val="bottom"/>
            <w:gridSpan w:val="11"/>
          </w:tcPr>
          <w:p>
            <w:pPr>
              <w:jc w:val="center"/>
              <w:ind w:left="556"/>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3, 4 and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30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38"/>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9,717,481</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line="136" w:lineRule="exact"/>
              <w:rPr>
                <w:sz w:val="20"/>
                <w:szCs w:val="20"/>
                <w:color w:val="auto"/>
              </w:rPr>
            </w:pPr>
            <w:r>
              <w:rPr>
                <w:rFonts w:ascii="Times New Roman" w:cs="Times New Roman" w:eastAsia="Times New Roman" w:hAnsi="Times New Roman"/>
                <w:sz w:val="12"/>
                <w:szCs w:val="12"/>
                <w:color w:val="0000FF"/>
              </w:rPr>
              <w:t>9,717,481</w:t>
            </w:r>
          </w:p>
        </w:tc>
        <w:tc>
          <w:tcPr>
            <w:tcW w:w="7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76"/>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jc w:val="center"/>
              <w:ind w:left="81"/>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3,096,469</w:t>
            </w: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02/25/2025</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3,096,469</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76"/>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2,064,359</w:t>
            </w: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03/29/2028</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2,064,359</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76"/>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35,630</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05/06/2026</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35,630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96"/>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Arnold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LLLP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3,096,455</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03/29/2018</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3,096,455</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96"/>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Arnold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LLLP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3,183,817</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04/21/2030</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3,183,817</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96"/>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Arnold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LLLP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By JT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8,137,614</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10/26/2030</w:t>
            </w: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8,137,614</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vMerge w:val="restart"/>
          </w:tcPr>
          <w:p>
            <w:pPr>
              <w:jc w:val="center"/>
              <w:ind w:left="296"/>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Arnold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4"/>
          </w:tcPr>
          <w:p>
            <w:pPr>
              <w:ind w:left="60"/>
              <w:spacing w:after="0" w:line="222" w:lineRule="exact"/>
              <w:rPr>
                <w:sz w:val="20"/>
                <w:szCs w:val="20"/>
                <w:color w:val="auto"/>
              </w:rPr>
            </w:pPr>
            <w:r>
              <w:rPr>
                <w:rFonts w:ascii="Times New Roman" w:cs="Times New Roman" w:eastAsia="Times New Roman" w:hAnsi="Times New Roman"/>
                <w:sz w:val="12"/>
                <w:szCs w:val="12"/>
                <w:color w:val="0000FF"/>
              </w:rPr>
              <w:t>II, LLLP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2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2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4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00" w:type="dxa"/>
            <w:vAlign w:val="bottom"/>
          </w:tcPr>
          <w:p>
            <w:pPr>
              <w:jc w:val="center"/>
              <w:ind w:left="142"/>
              <w:spacing w:after="0"/>
              <w:rPr>
                <w:sz w:val="20"/>
                <w:szCs w:val="20"/>
                <w:color w:val="auto"/>
              </w:rPr>
            </w:pPr>
            <w:r>
              <w:rPr>
                <w:rFonts w:ascii="Times New Roman" w:cs="Times New Roman" w:eastAsia="Times New Roman" w:hAnsi="Times New Roman"/>
                <w:sz w:val="12"/>
                <w:szCs w:val="12"/>
                <w:color w:val="0000FF"/>
              </w:rPr>
              <w:t>10,050,234</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10/26/2030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10,050,234</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60" w:type="dxa"/>
            <w:vAlign w:val="bottom"/>
          </w:tcPr>
          <w:p>
            <w:pPr>
              <w:jc w:val="center"/>
              <w:ind w:left="276"/>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jc w:val="center"/>
              <w:ind w:left="81"/>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695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695450"/>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020" w:type="dxa"/>
            <w:vAlign w:val="bottom"/>
            <w:vMerge w:val="restart"/>
          </w:tcPr>
          <w:p>
            <w:pPr>
              <w:jc w:val="right"/>
              <w:ind w:right="163"/>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8,148,490</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08/13/2031</w:t>
            </w:r>
          </w:p>
        </w:tc>
        <w:tc>
          <w:tcPr>
            <w:tcW w:w="6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8,148,490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40" w:hanging="4"/>
        <w:spacing w:after="0" w:line="245"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Agreement and Plan of Merger, dated as of June 21, 2024 (the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any applicable taxes) equal to the per share merger consideration of $1.43 (the "Merger Consideration"). As a result of the Merger, Reporting Person no longer beneficially owns, directly or indirectly, any shares of Company Common Stock.</w:t>
      </w:r>
    </w:p>
    <w:p>
      <w:pPr>
        <w:spacing w:after="0" w:line="22" w:lineRule="exact"/>
        <w:rPr>
          <w:rFonts w:ascii="Times New Roman" w:cs="Times New Roman" w:eastAsia="Times New Roman" w:hAnsi="Times New Roman"/>
          <w:sz w:val="12"/>
          <w:szCs w:val="12"/>
          <w:color w:val="008000"/>
        </w:rPr>
      </w:pPr>
    </w:p>
    <w:p>
      <w:pPr>
        <w:ind w:left="20" w:right="160" w:hanging="4"/>
        <w:spacing w:after="0" w:line="248"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Rollover Agreement, dated as of June 25, 2024 (the Rollover Agreement), by and among Impact Aggregator LP, a Delaware limited partnership ("Topco LP"), Impact Upper Parent Inc., a Delaware corporation ("Topco Inc.") and each of the Persons listed on the Schedule A attached thereto (each a "Rollover Stockholder" and collectively the "Rollover Stockholders"), each share of Company Common Stock reported in this row (the "Rollover Shares") was contributed to Topco Inc. in exchange for shares of common stock of Topco Inc. having an aggregate value equal the product of the number of shares of Company Common Stock reported in this row multiplied by the Merger Consideration, without interest.</w:t>
      </w:r>
    </w:p>
    <w:p>
      <w:pPr>
        <w:spacing w:after="0" w:line="21"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is the beneficial owner and has sole voting power and investment power over the securities reported herein held by this entity.</w:t>
      </w:r>
    </w:p>
    <w:p>
      <w:pPr>
        <w:spacing w:after="0" w:line="46" w:lineRule="exact"/>
        <w:rPr>
          <w:rFonts w:ascii="Times New Roman" w:cs="Times New Roman" w:eastAsia="Times New Roman" w:hAnsi="Times New Roman"/>
          <w:sz w:val="12"/>
          <w:szCs w:val="12"/>
          <w:color w:val="008000"/>
        </w:rPr>
      </w:pPr>
    </w:p>
    <w:p>
      <w:pPr>
        <w:ind w:left="20" w:right="260" w:hanging="4"/>
        <w:spacing w:after="0" w:line="254"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Prior to the Effective Time, Reporting Person entered into an agreement with Topco LP pursuant to which Reporting Person forfeited all Contingent Cash Awards and Contingent Unit Awards (each as defined in the Merger Agreement) that Reporting Person under the Merger Agreement in connection with the RSU/stock option listed in this row, in favor of profits interests of Topco LP with a priority catch up equal to the aggregate value of the forfeited Contingent Cash Awards and Contingent Unit Awards.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1" w:lineRule="auto"/>
        <w:rPr>
          <w:sz w:val="20"/>
          <w:szCs w:val="20"/>
          <w:color w:val="auto"/>
        </w:rPr>
      </w:pPr>
      <w:r>
        <w:rPr>
          <w:rFonts w:ascii="Times New Roman" w:cs="Times New Roman" w:eastAsia="Times New Roman" w:hAnsi="Times New Roman"/>
          <w:sz w:val="16"/>
          <w:szCs w:val="16"/>
          <w:color w:val="0000FF"/>
        </w:rPr>
        <w:t xml:space="preserve">/s/ Christie J. Miller, Attorney-in- </w:t>
      </w:r>
      <w:r>
        <w:rPr>
          <w:rFonts w:ascii="Times New Roman" w:cs="Times New Roman" w:eastAsia="Times New Roman" w:hAnsi="Times New Roman"/>
          <w:sz w:val="32"/>
          <w:szCs w:val="32"/>
          <w:color w:val="0000FF"/>
          <w:vertAlign w:val="subscript"/>
        </w:rPr>
        <w:t>10/24/2024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369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96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 for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1054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4100" cy="7620"/>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-80010</wp:posOffset>
            </wp:positionV>
            <wp:extent cx="4635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20" w:hanging="4"/>
        <w:spacing w:after="0" w:line="321"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085341"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2024-10-25T05:13:22Z</dcterms:created>
  <dcterms:modified xsi:type="dcterms:W3CDTF">2024-10-25T05:13:22Z</dcterms:modified>
</cp:coreProperties>
</file>