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346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3461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ALLRED JEFFREY 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Sharecare,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SHCR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10/22/2024</w:t>
            </w: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SHARECARE, INC.</w:t>
            </w:r>
          </w:p>
        </w:tc>
        <w:tc>
          <w:tcPr>
            <w:tcW w:w="11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255 E. PACES FERRY RD. NE SUITE 700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30305</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10/22/2024</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319,848</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Griffeon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10/22/2024</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340,568</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Jeffrey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10/22/2024</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44,969</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Allred</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IRA</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00" w:type="dxa"/>
            <w:vAlign w:val="bottom"/>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76,667</w:t>
            </w:r>
          </w:p>
        </w:tc>
        <w:tc>
          <w:tcPr>
            <w:tcW w:w="660" w:type="dxa"/>
            <w:vAlign w:val="bottom"/>
            <w:gridSpan w:val="2"/>
            <w:vMerge w:val="restart"/>
          </w:tcPr>
          <w:p>
            <w:pPr>
              <w:ind w:left="24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10/22/2024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76,667</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00" w:type="dxa"/>
            <w:vAlign w:val="bottom"/>
          </w:tcPr>
          <w:p>
            <w:pPr>
              <w:ind w:left="4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as of June 21, 2024 (the "Merger Agreement"), by and among Sharecare, Inc. ("Sharecare"), Impact Acquiror Inc., a Delaware corporation ("Parent") and Impact Merger Sub Inc., a Delaware corporation and a wholly owned subsidiary of Parent ("Merger Sub"), Merger Sub merged with and into the Company (the "Merger"), with the Company surviving the Merger as a wholly owned subsidiary of Parent. At the effective time of the Merger (the "Effective Time"), each share of Sharecare common stock, par value $0.0001 ("Company Common Stock"), reported in this row was converted into the right to receive a cash payment (without interest and subject to applicable taxes) equal to the per share merger consideration of $1.43 (the "Merger Consideration"). As a result of the Merger, Reporting Person no longer beneficially owns, directly or indirectly, any shares of Company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the beneficial owner and has sole voting and investment power over the securities reported herein held by this entity</w:t>
      </w:r>
    </w:p>
    <w:p>
      <w:pPr>
        <w:spacing w:after="0" w:line="44"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outstanding restricted stock unit of Reporting Person ("Company RSU Award") was cancelled and converted into the right to receive an amount in cash (without interest) equal to the product of multiplying (A) the number of shares of Company Common Stock subject to the Company RSU Award immediately prior to the Effective Time by (B) the Merger Consideration.</w:t>
      </w:r>
    </w:p>
    <w:p>
      <w:pPr>
        <w:sectPr>
          <w:pgSz w:w="11900" w:h="16838" w:orient="portrait"/>
          <w:cols w:equalWidth="0" w:num="1">
            <w:col w:w="11080"/>
          </w:cols>
          <w:pgMar w:left="460" w:top="217" w:right="359" w:bottom="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Christie J. Miller,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222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80" w:space="120"/>
            <w:col w:w="2280"/>
          </w:cols>
          <w:pgMar w:left="460" w:top="217"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5639" TargetMode="External"/><Relationship Id="rId14" Type="http://schemas.openxmlformats.org/officeDocument/2006/relationships/hyperlink" Target="http://www.sec.gov/cgi-bin/browse-edgar?action=getcompany&amp;CIK=0001816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2024-10-25T05:18:28Z</dcterms:created>
  <dcterms:modified xsi:type="dcterms:W3CDTF">2024-10-25T05:18:28Z</dcterms:modified>
</cp:coreProperties>
</file>