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Mallett Veronica</w:t>
              </w:r>
            </w:hyperlink>
          </w:p>
        </w:tc>
        <w:tc>
          <w:tcPr>
            <w:tcW w:w="10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Sharecare,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SHCR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60" w:type="dxa"/>
            <w:vAlign w:val="bottom"/>
            <w:tcBorders>
              <w:bottom w:val="single" w:sz="8" w:color="0000EE"/>
            </w:tcBorders>
            <w:gridSpan w:val="2"/>
            <w:vMerge w:val="continue"/>
          </w:tcPr>
          <w:p>
            <w:pPr>
              <w:spacing w:after="0"/>
              <w:rPr>
                <w:sz w:val="5"/>
                <w:szCs w:val="5"/>
                <w:color w:val="auto"/>
              </w:rPr>
            </w:pPr>
          </w:p>
        </w:tc>
        <w:tc>
          <w:tcPr>
            <w:tcW w:w="10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60" w:type="dxa"/>
            <w:vAlign w:val="bottom"/>
            <w:gridSpan w:val="2"/>
          </w:tcPr>
          <w:p>
            <w:pPr>
              <w:spacing w:after="0"/>
              <w:rPr>
                <w:sz w:val="6"/>
                <w:szCs w:val="6"/>
                <w:color w:val="auto"/>
              </w:rPr>
            </w:pPr>
          </w:p>
        </w:tc>
        <w:tc>
          <w:tcPr>
            <w:tcW w:w="10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10/22/2024</w:t>
            </w:r>
          </w:p>
        </w:tc>
        <w:tc>
          <w:tcPr>
            <w:tcW w:w="25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SHARECARE, INC.</w:t>
            </w:r>
          </w:p>
        </w:tc>
        <w:tc>
          <w:tcPr>
            <w:tcW w:w="122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25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255 E. PACES FERRY RD. NE SUITE 700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GA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30305</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10/22/2024</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w w:val="94"/>
              </w:rPr>
              <w:t>140,019</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207,701</w:t>
            </w:r>
          </w:p>
        </w:tc>
        <w:tc>
          <w:tcPr>
            <w:tcW w:w="40" w:type="dxa"/>
            <w:vAlign w:val="bottom"/>
          </w:tcPr>
          <w:p>
            <w:pPr>
              <w:spacing w:after="0"/>
              <w:rPr>
                <w:sz w:val="15"/>
                <w:szCs w:val="1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(2)</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10/22/2024</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940" w:type="dxa"/>
            <w:vAlign w:val="bottom"/>
          </w:tcPr>
          <w:p>
            <w:pPr>
              <w:ind w:left="400"/>
              <w:spacing w:after="0" w:line="128" w:lineRule="exact"/>
              <w:rPr>
                <w:sz w:val="20"/>
                <w:szCs w:val="20"/>
                <w:color w:val="auto"/>
              </w:rPr>
            </w:pPr>
            <w:r>
              <w:rPr>
                <w:rFonts w:ascii="Times New Roman" w:cs="Times New Roman" w:eastAsia="Times New Roman" w:hAnsi="Times New Roman"/>
                <w:sz w:val="13"/>
                <w:szCs w:val="13"/>
                <w:color w:val="0000FF"/>
              </w:rPr>
              <w:t>207,701</w:t>
            </w:r>
          </w:p>
        </w:tc>
        <w:tc>
          <w:tcPr>
            <w:tcW w:w="7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160"/>
        <w:spacing w:after="0" w:line="233"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dated as of June 21, 2024 (the "Merger Agreement"), by and among Sharecare, Inc. ("Sharecare"), Impact Acquiror Inc., a Delaware corporation ("Parent") and Impact Merger Sub Inc., a Delaware corporation and a wholly owned subsidiary of Parent ("Merger Sub"), Merger Sub merged with and into the Company (the "Merger"), with the Company surviving the Merger as a wholly owned subsidiary of Parent. At the effective time of the Merger (the "Effective Time"), each share of Sharecare common stock, par value $0.0001 ("Company Common Stock"), reported in this row was converted into the right to receive a cash payment (without interest and subject to applicable taxes) equal to the per share merger consideration of $1.43 (the "Merger Consideration"). As a result of the Merger, Reporting Person no longer beneficially owns, directly or indirectly, any shares of Company Common Stock.</w:t>
      </w:r>
    </w:p>
    <w:p>
      <w:pPr>
        <w:spacing w:after="0" w:line="25" w:lineRule="exact"/>
        <w:rPr>
          <w:rFonts w:ascii="Times New Roman" w:cs="Times New Roman" w:eastAsia="Times New Roman" w:hAnsi="Times New Roman"/>
          <w:sz w:val="13"/>
          <w:szCs w:val="13"/>
          <w:color w:val="008000"/>
        </w:rPr>
      </w:pPr>
    </w:p>
    <w:p>
      <w:pPr>
        <w:ind w:left="40" w:right="22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the Effective Time, each outstanding restricted stock unit of Reporting Person ("Company RSU Award") was cancelled and converted into the right to receive an amount in cash (without interest) equal to the product of multiplying (A) the number of shares of Company Common Stock subject to the Company RSU Award immediately prior to the Effective Time by (B) the Merger Consideration.</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Christie J. Miller,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10/24/2024</w:t>
            </w:r>
          </w:p>
        </w:tc>
        <w:tc>
          <w:tcPr>
            <w:tcW w:w="0" w:type="dxa"/>
            <w:vAlign w:val="bottom"/>
          </w:tcPr>
          <w:p>
            <w:pPr>
              <w:spacing w:after="0"/>
              <w:rPr>
                <w:sz w:val="1"/>
                <w:szCs w:val="1"/>
                <w:color w:val="auto"/>
              </w:rPr>
            </w:pPr>
          </w:p>
        </w:tc>
      </w:tr>
      <w:tr>
        <w:trPr>
          <w:trHeight w:val="87"/>
        </w:trPr>
        <w:tc>
          <w:tcPr>
            <w:tcW w:w="190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in-Fact for Reporting Person</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531" TargetMode="External"/><Relationship Id="rId14" Type="http://schemas.openxmlformats.org/officeDocument/2006/relationships/hyperlink" Target="http://www.sec.gov/cgi-bin/browse-edgar?action=getcompany&amp;CIK=0001816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2024-10-25T05:23:45Z</dcterms:created>
  <dcterms:modified xsi:type="dcterms:W3CDTF">2024-10-25T05:23:45Z</dcterms:modified>
</cp:coreProperties>
</file>