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998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99808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Goulet Kenneth R</w:t>
              </w:r>
            </w:hyperlink>
          </w:p>
        </w:tc>
        <w:tc>
          <w:tcPr>
            <w:tcW w:w="9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Sharecare,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SHCR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Borders>
              <w:bottom w:val="single" w:sz="8" w:color="0000EE"/>
            </w:tcBorders>
          </w:tcPr>
          <w:p>
            <w:pPr>
              <w:spacing w:after="0"/>
              <w:rPr>
                <w:sz w:val="6"/>
                <w:szCs w:val="6"/>
                <w:color w:val="auto"/>
              </w:rPr>
            </w:pPr>
          </w:p>
        </w:tc>
        <w:tc>
          <w:tcPr>
            <w:tcW w:w="25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480" w:type="dxa"/>
            <w:vAlign w:val="bottom"/>
            <w:tcBorders>
              <w:bottom w:val="single" w:sz="8" w:color="0000EE"/>
            </w:tcBorders>
            <w:gridSpan w:val="2"/>
            <w:vMerge w:val="continue"/>
          </w:tcPr>
          <w:p>
            <w:pPr>
              <w:spacing w:after="0"/>
              <w:rPr>
                <w:sz w:val="5"/>
                <w:szCs w:val="5"/>
                <w:color w:val="auto"/>
              </w:rPr>
            </w:pPr>
          </w:p>
        </w:tc>
        <w:tc>
          <w:tcPr>
            <w:tcW w:w="9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480" w:type="dxa"/>
            <w:vAlign w:val="bottom"/>
            <w:gridSpan w:val="2"/>
          </w:tcPr>
          <w:p>
            <w:pPr>
              <w:spacing w:after="0"/>
              <w:rPr>
                <w:sz w:val="6"/>
                <w:szCs w:val="6"/>
                <w:color w:val="auto"/>
              </w:rPr>
            </w:pPr>
          </w:p>
        </w:tc>
        <w:tc>
          <w:tcPr>
            <w:tcW w:w="9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10/22/2024</w:t>
            </w:r>
          </w:p>
        </w:tc>
        <w:tc>
          <w:tcPr>
            <w:tcW w:w="25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SHARECARE, INC.</w:t>
            </w:r>
          </w:p>
        </w:tc>
        <w:tc>
          <w:tcPr>
            <w:tcW w:w="1220" w:type="dxa"/>
            <w:vAlign w:val="bottom"/>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25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255 E. PACES FERRY RD. NE SUITE 700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25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ATLANTA</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GA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30305</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80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80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2"/>
          </w:tcPr>
          <w:p>
            <w:pPr>
              <w:jc w:val="center"/>
              <w:ind w:left="695"/>
              <w:spacing w:after="0"/>
              <w:rPr>
                <w:sz w:val="20"/>
                <w:szCs w:val="20"/>
                <w:color w:val="auto"/>
              </w:rPr>
            </w:pPr>
            <w:r>
              <w:rPr>
                <w:rFonts w:ascii="Times New Roman" w:cs="Times New Roman" w:eastAsia="Times New Roman" w:hAnsi="Times New Roman"/>
                <w:sz w:val="17"/>
                <w:szCs w:val="17"/>
                <w:color w:val="0000FF"/>
                <w:w w:val="98"/>
              </w:rPr>
              <w:t>10/22/2024</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428,999</w:t>
            </w:r>
          </w:p>
        </w:tc>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70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ind w:right="1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1.05</w:t>
            </w: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13"/>
                <w:szCs w:val="13"/>
                <w:color w:val="0000FF"/>
              </w:rPr>
              <w:t>10/22/2024</w:t>
            </w:r>
          </w:p>
        </w:tc>
        <w:tc>
          <w:tcPr>
            <w:tcW w:w="1080" w:type="dxa"/>
            <w:vAlign w:val="bottom"/>
          </w:tcPr>
          <w:p>
            <w:pPr>
              <w:spacing w:after="0"/>
              <w:rPr>
                <w:sz w:val="17"/>
                <w:szCs w:val="17"/>
                <w:color w:val="auto"/>
              </w:rPr>
            </w:pPr>
          </w:p>
        </w:tc>
        <w:tc>
          <w:tcPr>
            <w:tcW w:w="76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D</w:t>
            </w:r>
          </w:p>
        </w:tc>
        <w:tc>
          <w:tcPr>
            <w:tcW w:w="94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712,585</w:t>
            </w: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7"/>
                <w:szCs w:val="17"/>
                <w:color w:val="auto"/>
              </w:rPr>
            </w:pPr>
          </w:p>
        </w:tc>
        <w:tc>
          <w:tcPr>
            <w:tcW w:w="480" w:type="dxa"/>
            <w:vAlign w:val="bottom"/>
          </w:tcPr>
          <w:p>
            <w:pPr>
              <w:jc w:val="center"/>
              <w:ind w:right="180"/>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712,585</w:t>
            </w:r>
          </w:p>
        </w:tc>
        <w:tc>
          <w:tcPr>
            <w:tcW w:w="40" w:type="dxa"/>
            <w:vAlign w:val="bottom"/>
          </w:tcPr>
          <w:p>
            <w:pPr>
              <w:spacing w:after="0"/>
              <w:rPr>
                <w:sz w:val="17"/>
                <w:szCs w:val="17"/>
                <w:color w:val="auto"/>
              </w:rPr>
            </w:pPr>
          </w:p>
        </w:tc>
        <w:tc>
          <w:tcPr>
            <w:tcW w:w="700" w:type="dxa"/>
            <w:vAlign w:val="bottom"/>
            <w:gridSpan w:val="2"/>
          </w:tcPr>
          <w:p>
            <w:pPr>
              <w:ind w:left="160"/>
              <w:spacing w:after="0" w:line="203" w:lineRule="exact"/>
              <w:rPr>
                <w:sz w:val="20"/>
                <w:szCs w:val="20"/>
                <w:color w:val="auto"/>
              </w:rPr>
            </w:pPr>
            <w:r>
              <w:rPr>
                <w:rFonts w:ascii="Arial" w:cs="Arial" w:eastAsia="Arial" w:hAnsi="Arial"/>
                <w:sz w:val="20"/>
                <w:szCs w:val="20"/>
                <w:color w:val="000000"/>
                <w:vertAlign w:val="subscript"/>
              </w:rPr>
              <w:t>$</w:t>
            </w:r>
            <w:r>
              <w:rPr>
                <w:rFonts w:ascii="Times New Roman" w:cs="Times New Roman" w:eastAsia="Times New Roman" w:hAnsi="Times New Roman"/>
                <w:sz w:val="23"/>
                <w:szCs w:val="23"/>
                <w:color w:val="0000FF"/>
                <w:vertAlign w:val="subscript"/>
              </w:rPr>
              <w:t>0</w:t>
            </w:r>
            <w:r>
              <w:rPr>
                <w:rFonts w:ascii="Times New Roman" w:cs="Times New Roman" w:eastAsia="Times New Roman" w:hAnsi="Times New Roman"/>
                <w:sz w:val="10"/>
                <w:szCs w:val="10"/>
                <w:color w:val="008000"/>
              </w:rPr>
              <w:t>(2)</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line="77"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5"/>
                <w:szCs w:val="15"/>
                <w:color w:val="auto"/>
              </w:rPr>
            </w:pPr>
          </w:p>
        </w:tc>
        <w:tc>
          <w:tcPr>
            <w:tcW w:w="480" w:type="dxa"/>
            <w:vAlign w:val="bottom"/>
            <w:vMerge w:val="restart"/>
          </w:tcPr>
          <w:p>
            <w:pPr>
              <w:jc w:val="center"/>
              <w:ind w:right="180"/>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197,686</w:t>
            </w:r>
          </w:p>
        </w:tc>
        <w:tc>
          <w:tcPr>
            <w:tcW w:w="40" w:type="dxa"/>
            <w:vAlign w:val="bottom"/>
          </w:tcPr>
          <w:p>
            <w:pPr>
              <w:spacing w:after="0"/>
              <w:rPr>
                <w:sz w:val="15"/>
                <w:szCs w:val="15"/>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(3)</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0"/>
              <w:spacing w:after="0" w:line="128" w:lineRule="exact"/>
              <w:rPr>
                <w:sz w:val="20"/>
                <w:szCs w:val="20"/>
                <w:color w:val="auto"/>
              </w:rPr>
            </w:pPr>
            <w:r>
              <w:rPr>
                <w:rFonts w:ascii="Times New Roman" w:cs="Times New Roman" w:eastAsia="Times New Roman" w:hAnsi="Times New Roman"/>
                <w:sz w:val="13"/>
                <w:szCs w:val="13"/>
                <w:color w:val="0000FF"/>
              </w:rPr>
              <w:t>10/22/2024</w:t>
            </w:r>
          </w:p>
        </w:tc>
        <w:tc>
          <w:tcPr>
            <w:tcW w:w="1080" w:type="dxa"/>
            <w:vAlign w:val="bottom"/>
          </w:tcPr>
          <w:p>
            <w:pPr>
              <w:spacing w:after="0"/>
              <w:rPr>
                <w:sz w:val="11"/>
                <w:szCs w:val="11"/>
                <w:color w:val="auto"/>
              </w:rPr>
            </w:pPr>
          </w:p>
        </w:tc>
        <w:tc>
          <w:tcPr>
            <w:tcW w:w="760" w:type="dxa"/>
            <w:vAlign w:val="bottom"/>
          </w:tcPr>
          <w:p>
            <w:pPr>
              <w:jc w:val="center"/>
              <w:ind w:right="281"/>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940" w:type="dxa"/>
            <w:vAlign w:val="bottom"/>
          </w:tcPr>
          <w:p>
            <w:pPr>
              <w:ind w:left="400"/>
              <w:spacing w:after="0" w:line="128" w:lineRule="exact"/>
              <w:rPr>
                <w:sz w:val="20"/>
                <w:szCs w:val="20"/>
                <w:color w:val="auto"/>
              </w:rPr>
            </w:pPr>
            <w:r>
              <w:rPr>
                <w:rFonts w:ascii="Times New Roman" w:cs="Times New Roman" w:eastAsia="Times New Roman" w:hAnsi="Times New Roman"/>
                <w:sz w:val="13"/>
                <w:szCs w:val="13"/>
                <w:color w:val="0000FF"/>
              </w:rPr>
              <w:t>197,686</w:t>
            </w: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60" w:type="dxa"/>
            <w:vAlign w:val="bottom"/>
          </w:tcPr>
          <w:p>
            <w:pPr>
              <w:ind w:left="360"/>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-2179320</wp:posOffset>
            </wp:positionV>
            <wp:extent cx="28575" cy="2184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8440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160"/>
        <w:spacing w:after="0" w:line="233"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Agreement and Plan of Merger, dated as of June 21, 2024 (the "Merger Agreement"), by and among Sharecare, Inc. ("Sharecare"), Impact Acquiror Inc., a Delaware corporation ("Parent") and Impact Merger Sub Inc., a Delaware corporation and a wholly owned subsidiary of Parent ("Merger Sub"), Merger Sub merged with and into the Company (the "Merger"), with the Company surviving the Merger as a wholly owned subsidiary of Parent. At the effective time of the Merger (the "Effective Time"), each share of Sharecare common stock, par value $0.0001 ("Company Common Stock"), reported in this row was converted into the right to receive a cash payment (without interest and subject to applicable taxes) equal to the per share merger consideration of $1.43 (the "Merger Consideration"). As a result of the Merger, Reporting Person no longer beneficially owns, directly or indirectly, any shares of Company Common Stock.</w:t>
      </w:r>
    </w:p>
    <w:p>
      <w:pPr>
        <w:spacing w:after="0" w:line="25" w:lineRule="exact"/>
        <w:rPr>
          <w:rFonts w:ascii="Times New Roman" w:cs="Times New Roman" w:eastAsia="Times New Roman" w:hAnsi="Times New Roman"/>
          <w:sz w:val="13"/>
          <w:szCs w:val="13"/>
          <w:color w:val="008000"/>
        </w:rPr>
      </w:pPr>
    </w:p>
    <w:p>
      <w:pPr>
        <w:ind w:left="40" w:right="16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each outstanding option to purchase shares of Company Common Stock (a "Company Option") that was vested or vested upon the Effective Time was cancelled and converted into the right to receive an amount in cash (without interest) equal to the product of multiplying (A) the number of shares of Company Common Stock subject to the Company Option immediately prior to the Effective Time by (B) the excess, if any of (x) the Merger Consideration over (y) the exercise price per share of Company Common Stock of such Company Option (the "Option Consideration").</w:t>
      </w:r>
    </w:p>
    <w:p>
      <w:pPr>
        <w:spacing w:after="0" w:line="26" w:lineRule="exact"/>
        <w:rPr>
          <w:rFonts w:ascii="Times New Roman" w:cs="Times New Roman" w:eastAsia="Times New Roman" w:hAnsi="Times New Roman"/>
          <w:sz w:val="13"/>
          <w:szCs w:val="13"/>
          <w:color w:val="008000"/>
        </w:rPr>
      </w:pPr>
    </w:p>
    <w:p>
      <w:pPr>
        <w:ind w:left="40" w:right="22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at the Effective Time, each outstanding restricted stock unit of Reporting Person ("Company RSU Award") was cancelled and converted into the right to receive an amount in cash (without interest) equal to the product of multiplying (A) the number of shares of Company Common Stock subject to the Company RSU Award immediately prior to the Effective Time by (B) the Merger Consideration.</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6"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Christie J. Miller,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10/24/2024</w:t>
            </w:r>
          </w:p>
        </w:tc>
        <w:tc>
          <w:tcPr>
            <w:tcW w:w="0" w:type="dxa"/>
            <w:vAlign w:val="bottom"/>
          </w:tcPr>
          <w:p>
            <w:pPr>
              <w:spacing w:after="0"/>
              <w:rPr>
                <w:sz w:val="1"/>
                <w:szCs w:val="1"/>
                <w:color w:val="auto"/>
              </w:rPr>
            </w:pPr>
          </w:p>
        </w:tc>
      </w:tr>
      <w:tr>
        <w:trPr>
          <w:trHeight w:val="87"/>
        </w:trPr>
        <w:tc>
          <w:tcPr>
            <w:tcW w:w="190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6"/>
              </w:rPr>
              <w:t>in-Fact for Reporting Person</w:t>
            </w:r>
          </w:p>
        </w:tc>
        <w:tc>
          <w:tcPr>
            <w:tcW w:w="3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00" w:type="dxa"/>
            <w:vAlign w:val="bottom"/>
            <w:tcBorders>
              <w:bottom w:val="single" w:sz="8" w:color="auto"/>
            </w:tcBorders>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15516" TargetMode="External"/><Relationship Id="rId14" Type="http://schemas.openxmlformats.org/officeDocument/2006/relationships/hyperlink" Target="http://www.sec.gov/cgi-bin/browse-edgar?action=getcompany&amp;CIK=00018162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2024-10-25T05:17:12Z</dcterms:created>
  <dcterms:modified xsi:type="dcterms:W3CDTF">2024-10-25T05:17:12Z</dcterms:modified>
</cp:coreProperties>
</file>