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Sharecare,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85-1365053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255 East Paces Ferry Road NE, Suite 700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Atlanta, Georgia 30305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(404) 671-4000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SHCR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SHCRW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one share of Common Stock, each at an exercise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44"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On August 11, 2021, Sharecare, Inc. (the “Company”) issued a press release announcing its financial results for the second quarter ended June 30, 2021, achieved prior to the completion of its business combination with Falcon Capital Acquisition Corp. A copy of the press release is attached as Exhibit 99.1 hereto and is incorporated herein by reference.</w:t>
      </w:r>
    </w:p>
    <w:p>
      <w:pPr>
        <w:spacing w:after="0" w:line="184"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The information in this Item 2.02, including the press release attached as Exhibit 99.1 hereto, is being furnished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spacing w:after="0" w:line="3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On August 11, 2021, the Company issued a press release announcing that it entered into and closed a Stock Purchase Agreement acquiring all of the outstanding equity interest of CareLinx Inc. (“CareLinx”). CareLinx is a nationwide home care platform that delivers intermittent on-demand personal care services in the homes of patients, while facilitating rich data capture, population health analytics and real-time care coordination with remote clinical teams. Total purchase consideration is $65.0 million.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copy of the press release is attached as Exhibit 99.2 hereto and is incorporated herein by reference.</w:t>
      </w:r>
    </w:p>
    <w:p>
      <w:pPr>
        <w:spacing w:after="0" w:line="225"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The information in this Item 7.01, including the press release attached as Exhibit 99.2 hereto, is being furnished and shall not be deemed “filed” for purposes of Section 18 of the Exchange Act, nor shall it be deemed incorporated by reference in any filing under the Securities Act, except as shall be expressly set forth by specific reference in such filing.</w:t>
      </w:r>
    </w:p>
    <w:p>
      <w:pPr>
        <w:spacing w:after="0" w:line="32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80" w:type="dxa"/>
            <w:vAlign w:val="bottom"/>
          </w:tcPr>
          <w:p>
            <w:pPr>
              <w:spacing w:after="0"/>
              <w:rPr>
                <w:sz w:val="20"/>
                <w:szCs w:val="20"/>
                <w:color w:val="auto"/>
              </w:rPr>
            </w:pPr>
          </w:p>
        </w:tc>
        <w:tc>
          <w:tcPr>
            <w:tcW w:w="99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38"/>
        </w:trPr>
        <w:tc>
          <w:tcPr>
            <w:tcW w:w="86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10160" w:type="dxa"/>
            <w:vAlign w:val="bottom"/>
            <w:gridSpan w:val="4"/>
          </w:tcPr>
          <w:p>
            <w:pPr>
              <w:ind w:left="10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9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9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980" w:type="dxa"/>
            <w:vAlign w:val="bottom"/>
            <w:tcBorders>
              <w:top w:val="single" w:sz="8" w:color="auto"/>
            </w:tcBorders>
            <w:gridSpan w:val="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Press Release, dated August 11, 2021, reporting the Company’s financial results for the second quarter ended June 30, 2021.</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40" w:type="dxa"/>
            <w:vAlign w:val="bottom"/>
            <w:tcBorders>
              <w:top w:val="single" w:sz="8" w:color="0000EE"/>
            </w:tcBorders>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Press Release, dated August 11, 2021, announcing the acquisition of CareLinx.</w:t>
              </w:r>
            </w:hyperlink>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44" w:hanging="1044"/>
        <w:spacing w:after="0"/>
        <w:tabs>
          <w:tab w:leader="none" w:pos="10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included as Exhibit 101)</w:t>
      </w:r>
    </w:p>
    <w:p>
      <w:pPr>
        <w:sectPr>
          <w:pgSz w:w="11900" w:h="16838" w:orient="portrait"/>
          <w:cols w:equalWidth="0" w:num="1">
            <w:col w:w="11024"/>
          </w:cols>
          <w:pgMar w:left="436"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SHARECARE, INC.</w:t>
      </w:r>
    </w:p>
    <w:p>
      <w:pPr>
        <w:spacing w:after="0" w:line="225" w:lineRule="exact"/>
        <w:rPr>
          <w:sz w:val="20"/>
          <w:szCs w:val="20"/>
          <w:color w:val="auto"/>
        </w:rPr>
      </w:pPr>
    </w:p>
    <w:p>
      <w:pPr>
        <w:spacing w:after="0"/>
        <w:tabs>
          <w:tab w:leader="none" w:pos="5300" w:val="left"/>
          <w:tab w:leader="none" w:pos="57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Ferrero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2863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Justin Ferrero</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7749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74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Sharecare announces second quarter 2021 financial results and operational highlights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Updates FY 2021 revenue outlook to range of $414 million to $415 million from $408 million following the acquisition of CareLinx, a tech-enabled home health company</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ATLANTA </w:t>
      </w:r>
      <w:r>
        <w:rPr>
          <w:rFonts w:ascii="Arial" w:cs="Arial" w:eastAsia="Arial" w:hAnsi="Arial"/>
          <w:sz w:val="18"/>
          <w:szCs w:val="18"/>
          <w:color w:val="auto"/>
        </w:rPr>
        <w:t>– August 11, 2021 – Sharecare (Nasdaq: SHCR), the digital health company that helps people manage all their health in one place,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quarter ended June 30, 2021.</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second quarter reflects strong financial performance across our entire business and provides a solid foundation for accelerated growth as we enter the second half of the year,” said Jeff Arnold, founder, chairman, and CEO of Sharecare. “Our commitment to delivering profitable, organic growth, combined with over $400 million of cash raised from our recent business combination, enables us to invest in innovation and new strategic opportunities like the acquisition of CareLinx to deliver added value to our customers while enhancing our growth.”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unless otherwise noted, are to the three months ended June 30, 2020.</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$98.5 million compared to $78.2 million, an increase of 26% and coming in at the high end of guidance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acquisition of doc.ai contributed $5.0 million to revenue in the quarter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$20.2 million compared to net loss of $13.7 million</w:t>
      </w:r>
    </w:p>
    <w:p>
      <w:pPr>
        <w:spacing w:after="0" w:line="130" w:lineRule="exact"/>
        <w:rPr>
          <w:rFonts w:ascii="Arial" w:cs="Arial" w:eastAsia="Arial" w:hAnsi="Arial"/>
          <w:sz w:val="18"/>
          <w:szCs w:val="18"/>
          <w:color w:val="auto"/>
        </w:rPr>
      </w:pPr>
    </w:p>
    <w:p>
      <w:pPr>
        <w:ind w:left="1420" w:right="240" w:hanging="331"/>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Includes non-cash expenses of $8.9 million for the change in the fair value of warrant liabilities, anti-dilution provisions and other contingent consideration, including $2.6 million as a result of the doc.ai anti-dilution provision</w:t>
      </w:r>
    </w:p>
    <w:p>
      <w:pPr>
        <w:spacing w:after="0" w:line="75" w:lineRule="exact"/>
        <w:rPr>
          <w:rFonts w:ascii="Arial" w:cs="Arial" w:eastAsia="Arial" w:hAnsi="Arial"/>
          <w:sz w:val="18"/>
          <w:szCs w:val="18"/>
          <w:color w:val="auto"/>
        </w:rPr>
      </w:pPr>
    </w:p>
    <w:p>
      <w:pPr>
        <w:ind w:left="960" w:right="40" w:hanging="424"/>
        <w:spacing w:after="0" w:line="31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of $6.6 million compared to $7.9 million, exceeding the guidance of $6.5 million, reflecting additional growth investments to support product innovation and expanded sales initiatives. Comparability with Adjusted EBITDA in Q2 2020 was impacted by temporary cost reductions as a result of furloughed employees, as well as salary and travel reductions due to COVID-19.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Operational Highlights</w:t>
      </w:r>
    </w:p>
    <w:p>
      <w:pPr>
        <w:spacing w:after="0" w:line="135" w:lineRule="exact"/>
        <w:rPr>
          <w:sz w:val="20"/>
          <w:szCs w:val="20"/>
          <w:color w:val="auto"/>
        </w:rPr>
      </w:pPr>
    </w:p>
    <w:p>
      <w:pPr>
        <w:ind w:left="960" w:right="1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$50 million investment from second largest health plan in U.S. to co-develop next generation multi-payor advocacy solution as an extension to the Sharecare digital platform</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new employer, government, provider, and life sciences customers</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several new government-sponsored health plans including Centene’s Peach State Health Plan Medicaid line of business and Humana’s CarePlus and their Medicare Advantage population</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Health Net’s Medicare line of business for both California and Oregon, which we believe represents an opportunity to add an estimated 800,000 new members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Outlook</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“By executing across all three of our channels – enterprise, provider, and consumer solutions – we organically grew total year-over-year revenue in the second quarter by approximately 20% while positive Adjusted EBITDA was ahead of our previous guidance,” said Justin Ferrero, president and CFO of Sharecare. “We’ve established a solid foundation and are in a strong position to invest in new opportunities to further accelerate our growth and profitability, and with 97% of our business booked, we remain confident in our full year outlook.”</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As announced today, Sharecare closed the acquisition of CareLinx, a nationwide home care platform that delivers intermittent on-demand personal care services in the homes of patients, while facilitating rich data capture, population health analytics, and real-time care coordination with remote clinical teams. Positioned to serve patient needs across the entire care continuum – from personal care to clinical care in the home – this acquisition brings a human touch to Sharecare’s digital solution with CareLinx’s network of more than 450,000 caregivers. Read more in the official </w:t>
      </w:r>
      <w:r>
        <w:rPr>
          <w:rFonts w:ascii="Arial" w:cs="Arial" w:eastAsia="Arial" w:hAnsi="Arial"/>
          <w:sz w:val="16"/>
          <w:szCs w:val="16"/>
          <w:u w:val="single" w:color="auto"/>
          <w:color w:val="auto"/>
        </w:rPr>
        <w:t>press release</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ending September 30, 2021, the Company expects:</w:t>
      </w:r>
    </w:p>
    <w:p>
      <w:pPr>
        <w:spacing w:after="0" w:line="131" w:lineRule="exact"/>
        <w:rPr>
          <w:sz w:val="20"/>
          <w:szCs w:val="20"/>
          <w:color w:val="auto"/>
        </w:rPr>
      </w:pPr>
    </w:p>
    <w:p>
      <w:pPr>
        <w:ind w:left="960" w:right="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 the range of $103 to $105 million, including approximately a $2 million contribution from CareLinx, representing greater than 28% growth over Q3 2020</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 the range of approximately $6 to $7 million, which includes significant continued investment in sales and innovation. The Adjusted EBITDA target also includes $1 million loss in the quarter from the CareLinx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 2021 Financial Guidance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twelve months ending December 31, 2021, the Company is updating its outlook to reflect the impact of the CareLinx acquisition and now expects:</w:t>
      </w:r>
    </w:p>
    <w:p>
      <w:pPr>
        <w:spacing w:after="0" w:line="76"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 the range of $414 to $415 million, from approximately $408 million</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in the range of $28 to $30 million, from approximately $31 million. The $2 to $3 million Adjusted EBITDA reduction is related to the CareLinx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will host a conference call to review the second quarter results today, Wednesday, August 11, 2021, at 8:00 a.m. E.T. The call can be accessed by dialing (844) 284-3435 for U.S. participants, or (914) 800-3939 for international participants, and referencing the conference ID #8885479; or via live audio webcast, available online at https://investors.sharecare.com/. A webcast replay of the call will be available for on-demand listening at the same link and will remain available for approximately 90 days.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our financial results determined in accordance with U.S. GAAP, we believe Adjusted EBITDA, a non-GAAP measure, is useful in evaluating our operating performance. We use Adjusted EBITDA to evaluate our ongoing operations and for internal planning and forecasting purposes. We believe that this non-GAAP financial measure, when taken together</w:t>
      </w:r>
    </w:p>
    <w:p>
      <w:pPr>
        <w:sectPr>
          <w:pgSz w:w="11900" w:h="16838" w:orient="portrait"/>
          <w:cols w:equalWidth="0" w:num="1">
            <w:col w:w="11000"/>
          </w:cols>
          <w:pgMar w:left="440" w:top="270" w:right="459" w:bottom="1440" w:gutter="0" w:footer="0" w:header="0"/>
        </w:sectPr>
      </w:pPr>
    </w:p>
    <w:bookmarkStart w:id="5" w:name="page6"/>
    <w:bookmarkEnd w:id="5"/>
    <w:p>
      <w:pPr>
        <w:ind w:left="4"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corresponding GAAP financial measure,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w:t>
      </w:r>
    </w:p>
    <w:p>
      <w:pPr>
        <w:spacing w:after="0" w:line="177"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The calculation and reconciliation of historic Adjusted EBITDA to net income (loss), the most directly comparable financial measures stated in accordance with GAAP, is provided below and in the accompanying financial tables. Investors are encouraged to review the reconciliation and not to rely on any single financial measure to evaluate our business.</w:t>
      </w:r>
    </w:p>
    <w:p>
      <w:pPr>
        <w:spacing w:after="0" w:line="18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We have not reconciled Adjusted EBITDA guidance to net income (loss) because we do not provide guidance for net income (loss) or for items that we do not consider indicative of our on-going performance, including, but not limited to, the impact of significant non-recurring items, as certain of these items are out of our control and/or cannot be reasonably predicted. Accordingly, a reconciliation of the Adjusted EBITDA guidance to the corresponding U.S. GAAP measure is not available without unreasonable effort.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calculate Adjusted EBITDA as net income (loss) adjusted to exclude (i) depreciation and amortization, (ii) interest income, (iii) interest expense,</w:t>
      </w:r>
    </w:p>
    <w:p>
      <w:pPr>
        <w:spacing w:after="0" w:line="46" w:lineRule="exact"/>
        <w:rPr>
          <w:sz w:val="20"/>
          <w:szCs w:val="20"/>
          <w:color w:val="auto"/>
        </w:rPr>
      </w:pPr>
    </w:p>
    <w:p>
      <w:pPr>
        <w:ind w:left="304" w:hanging="304"/>
        <w:spacing w:after="0"/>
        <w:tabs>
          <w:tab w:leader="none" w:pos="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expense (non-operating), (v) gain/loss from equity method investment, (vi) income tax (benefit) expense, (vii) share-based compensation,</w:t>
      </w:r>
    </w:p>
    <w:p>
      <w:pPr>
        <w:spacing w:after="0" w:line="32" w:lineRule="exact"/>
        <w:rPr>
          <w:rFonts w:ascii="Arial" w:cs="Arial" w:eastAsia="Arial" w:hAnsi="Arial"/>
          <w:sz w:val="16"/>
          <w:szCs w:val="16"/>
          <w:color w:val="auto"/>
        </w:rPr>
      </w:pPr>
    </w:p>
    <w:p>
      <w:pPr>
        <w:ind w:left="4" w:right="40" w:hanging="4"/>
        <w:spacing w:after="0" w:line="260" w:lineRule="auto"/>
        <w:tabs>
          <w:tab w:leader="none" w:pos="40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severance, (ix) warrant value for revenue contracts (x) common stock issues for services and (xi) transaction and closing costs. We do not view the items excluded as representative of our ongoing operations.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Sharecare</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Sharecare is the leading digital health company that helps people – no matter where they are in their health journey – unify and manage all their health in one place. Our comprehensive and data-driven virtual health platform is designed to help people, providers, employers, health plans, government organizations, and communities optimize individual and population-wide well-being by driving positive behavior change. Driven by our philosophy that we are all together better, at Sharecare, we are committed to supporting each individual through the lens of their personal health and making high-quality care more accessible and affordable for everyone. To learn more, visit www.sharecare.com.</w:t>
      </w:r>
    </w:p>
    <w:p>
      <w:pPr>
        <w:sectPr>
          <w:pgSz w:w="11900" w:h="16838" w:orient="portrait"/>
          <w:cols w:equalWidth="0" w:num="1">
            <w:col w:w="11004"/>
          </w:cols>
          <w:pgMar w:left="436"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Notice Regarding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that are based on beliefs and assumptions and on information currently available. In some cases, you can identify forward-looking statements by the following words: “outlook,” “target,” “reflect,” “on track,” “foresees,” “future,” “may,” “deliver,” “will,” “shall,” “could,” “would,” “should,” “expect,” “intend,” “plan,” “anticipate,” “believe,” “estimate,” “predict,” “project,” “potential,” “continue,” “ongoing” or the negative of these terms, other comparable terminology (although not all forward-looking statements contain these words), or by discussions of strategy, plans, or intentions.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in this press release include, but are not limited to, our ability to realize the benefits of recent and future acquisitions, including CareLinx, partnerships or other relationships with third parties or customers, and the statements under the caption “Financial Outlook.” We cannot assure you that the forward-looking statements in this press release will prove to be accurate. These forward-looking statements are subject to a number of significant risks and uncertainties that could cause actual results to differ materially from expected results. Descriptions of some of the factors that could cause actual results to defer materially from these forward-looking statements are discussed in more detail in our filings with the SEC, including the Risk Factors section of the prospectus for our business combination filed with the SEC on June 3, 2021.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press release.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Jen Martin 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jen@sharecare.com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Bob East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Bob.east@westwicke.com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443-450-4189</w:t>
      </w:r>
    </w:p>
    <w:p>
      <w:pPr>
        <w:sectPr>
          <w:pgSz w:w="11900" w:h="16838" w:orient="portrait"/>
          <w:cols w:equalWidth="0" w:num="1">
            <w:col w:w="11000"/>
          </w:cols>
          <w:pgMar w:left="440" w:top="270"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SHARECARE,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8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188,068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 (exclusive of depreciation and amortization below)</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93,028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80,247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23,556</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Product and technology</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36,266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38,752</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37,680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13,047</w:t>
            </w:r>
          </w:p>
        </w:tc>
        <w:tc>
          <w:tcPr>
            <w:tcW w:w="0" w:type="dxa"/>
            <w:vAlign w:val="bottom"/>
          </w:tcPr>
          <w:p>
            <w:pPr>
              <w:spacing w:after="0"/>
              <w:rPr>
                <w:sz w:val="1"/>
                <w:szCs w:val="1"/>
                <w:color w:val="auto"/>
              </w:rPr>
            </w:pPr>
          </w:p>
        </w:tc>
      </w:tr>
      <w:tr>
        <w:trPr>
          <w:trHeight w:val="230"/>
        </w:trPr>
        <w:tc>
          <w:tcPr>
            <w:tcW w:w="704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205,452</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(17,384)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(14,105)</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(20,730)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704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(15,926)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(34,806)</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 benefit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(52,190)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(25,535)</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(52,176)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 in subsidiaries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Sharecare,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(20,249)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(52,094)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SHARECARE,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As of June 30,</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71"/>
        </w:trPr>
        <w:tc>
          <w:tcPr>
            <w:tcW w:w="8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42,842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w w:val="99"/>
              </w:rPr>
              <w:t>Accounts receivable, net (net of allowance for doubtful accounts of $5,153 and $3,874 respectively)</w:t>
            </w:r>
          </w:p>
        </w:tc>
        <w:tc>
          <w:tcPr>
            <w:tcW w:w="16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80,875</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70,540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9,558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3"/>
        </w:trPr>
        <w:tc>
          <w:tcPr>
            <w:tcW w:w="82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137,637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Other long term assets</w:t>
            </w:r>
          </w:p>
        </w:tc>
        <w:tc>
          <w:tcPr>
            <w:tcW w:w="16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19,982</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120,433</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78,247</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155,050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75,736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437,158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265,974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Redeemable Convertible Preferred Stock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80"/>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30,483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54,999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41,058</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30,409</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 current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Debt, current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75,367</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Contract liabilities, noncurrent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3,983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166,834</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173,769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47,042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30"/>
        </w:trPr>
        <w:tc>
          <w:tcPr>
            <w:tcW w:w="82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350,327</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Redeemable convertible preferred stock, $0.001 par value; 1,763,656 and 1,726,620 shares authorized;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884,033 and 877,854 shares issued and outstanding, aggregate liquidation preference of $189,213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$186,741 as of September 30, 2020 and December 31, 2019, respectively</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242,629</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190,875</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$0.01 par value; 5,455,000 and 5,250,000 shares authorized; 2,149,417 and 2,083,916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issued and outstanding as of September 30, 2020 and December 31, 2019, respectively</w:t>
            </w:r>
          </w:p>
        </w:tc>
        <w:tc>
          <w:tcPr>
            <w:tcW w:w="1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287,495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186,279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(1,158)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w w:val="95"/>
              </w:rPr>
              <w:t>(444,207)</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(392,113)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Sharecare stockholders’ deficit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5"/>
              </w:rPr>
              <w:t>(157,868)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Non-controlling interest in subsidiaries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5"/>
              </w:rPr>
              <w:t>(155,798)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(204,331)</w:t>
            </w:r>
          </w:p>
        </w:tc>
        <w:tc>
          <w:tcPr>
            <w:tcW w:w="0" w:type="dxa"/>
            <w:vAlign w:val="bottom"/>
          </w:tcPr>
          <w:p>
            <w:pPr>
              <w:spacing w:after="0"/>
              <w:rPr>
                <w:sz w:val="1"/>
                <w:szCs w:val="1"/>
                <w:color w:val="auto"/>
              </w:rPr>
            </w:pPr>
          </w:p>
        </w:tc>
      </w:tr>
      <w:tr>
        <w:trPr>
          <w:trHeight w:val="209"/>
        </w:trPr>
        <w:tc>
          <w:tcPr>
            <w:tcW w:w="8260" w:type="dxa"/>
            <w:vAlign w:val="bottom"/>
          </w:tcPr>
          <w:p>
            <w:pPr>
              <w:ind w:left="720"/>
              <w:spacing w:after="0"/>
              <w:rPr>
                <w:sz w:val="20"/>
                <w:szCs w:val="20"/>
                <w:color w:val="auto"/>
              </w:rPr>
            </w:pPr>
            <w:r>
              <w:rPr>
                <w:rFonts w:ascii="Arial" w:cs="Arial" w:eastAsia="Arial" w:hAnsi="Arial"/>
                <w:sz w:val="18"/>
                <w:szCs w:val="18"/>
                <w:color w:val="auto"/>
                <w:w w:val="98"/>
              </w:rPr>
              <w:t>Total liabilities, redeemable non-controlling interest, redeemable convertible preferred stock and</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900"/>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437,158</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265,974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SHARECARE,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1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18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70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(20,225)</w:t>
            </w:r>
          </w:p>
        </w:tc>
        <w:tc>
          <w:tcPr>
            <w:tcW w:w="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(13,707)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(25,308)</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20,730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5,166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14,386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5,813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Warrants issued with revenue contracts(a)</w:t>
            </w: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closing costs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Adjusted EBITDA(b)</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non-cash value of warrants issued to clients for meeting specific revenue thresholds.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non-cash amortization associated with contract liabilities recorded in connection with acquired businesses.</w:t>
      </w:r>
    </w:p>
    <w:p>
      <w:pPr>
        <w:sectPr>
          <w:pgSz w:w="11900" w:h="16838" w:orient="portrait"/>
          <w:cols w:equalWidth="0" w:num="1">
            <w:col w:w="11024"/>
          </w:cols>
          <w:pgMar w:left="436" w:top="270" w:right="439" w:bottom="1440" w:gutter="0" w:footer="0" w:header="0"/>
        </w:sectPr>
      </w:pPr>
    </w:p>
    <w:bookmarkStart w:id="10" w:name="page11"/>
    <w:bookmarkEnd w:id="10"/>
    <w:p>
      <w:pPr>
        <w:ind w:left="100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2777490" cy="436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774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Sharecare enters home health market with acquisition of CareLinx, augments comprehensive platform with network of over 450,000 tech-enabled caregivers</w:t>
      </w:r>
    </w:p>
    <w:p>
      <w:pPr>
        <w:spacing w:after="0" w:line="162"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ATLANTA and BURLINGAME, Calif. </w:t>
      </w:r>
      <w:r>
        <w:rPr>
          <w:rFonts w:ascii="Arial" w:cs="Arial" w:eastAsia="Arial" w:hAnsi="Arial"/>
          <w:sz w:val="17"/>
          <w:szCs w:val="17"/>
          <w:color w:val="auto"/>
        </w:rPr>
        <w:t>– August 11, 2012 – Sharecare (Nasdaq: SHCR), the digital health company that helps people manage all their</w:t>
      </w:r>
      <w:r>
        <w:rPr>
          <w:rFonts w:ascii="Arial" w:cs="Arial" w:eastAsia="Arial" w:hAnsi="Arial"/>
          <w:sz w:val="17"/>
          <w:szCs w:val="17"/>
          <w:b w:val="1"/>
          <w:bCs w:val="1"/>
          <w:color w:val="auto"/>
        </w:rPr>
        <w:t xml:space="preserve"> </w:t>
      </w:r>
      <w:r>
        <w:rPr>
          <w:rFonts w:ascii="Arial" w:cs="Arial" w:eastAsia="Arial" w:hAnsi="Arial"/>
          <w:sz w:val="17"/>
          <w:szCs w:val="17"/>
          <w:color w:val="auto"/>
        </w:rPr>
        <w:t>health in one place, today announced that it has closed its acquisition of CareLinx, the nation’s leading digital on-demand platform of tech-enabled care providers. Sharecare has acquired CareLinx from Europ Assistance, one of the largest global assistance companies.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Through its network of over 450,000 tech-enabled caregivers, CareLinx delivers intermittent on-demand personal care services in people’s homes, while leveraging mobile technology to facilitate rich data capture, population health analytics, and the enabling of real-time care coordination with remote clinical teams. The acquisition will bring a human touch to and strengthen Sharecare’s digital platform by helping customers manage the “last mile” of care: the home.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“Regulatory and macro changes are driving the shift to home-based care and COVID further accelerated the adoption of telehealth and home-based services; and payors and providers need scalable in-home care provider solutions to manage the total cost of care,” said Jeff Arnold, founder, chairman and CEO of Sharecare. “In addition to integrating our offerings to provide our respective customers’ members, families, and caregivers with a comprehensive digital experience, the capabilities CareLinx brings to bear will be an additive and distinct component of the multi-payor advocacy solution we are developing.”</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With an exclusive offering for AARP members and key partnerships with the U.S. Department of Veterans Affairs through the Elizabeth Dole Foundation and three of the largest health plans in the U.S., over one million Medicare Advantage members have access to CareLinx through their health plans. Providing services across the continuum of care, including non-medical, companionship and housework, and personal and clinical, CareLinx’ experienced non-medical and skilled medical care providers include Companion Caregivers, Personal Care Providers, Certified Nursing Assistants (CNAs), Medical Assistants (MAs), Licensed Vocational Nurses (LVNs), Licensed Practical Nurses (LPNs), Registered Nurses (RNs), and Nurse Practitioners (NPs).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last decade, we have leveraged our platform to help people navigate the challenges of home care, as well as provide healthcare’s scarcest resource – nurses and caregivers – with the ability to earn higher pay and have greater schedule flexibility,” said Sherwin Sheik, founder and CEO of CareLinx. “Joining the Sharecare family will enable us to scale across their existing client base of health plans and large employers while working with their world-class engineers to drive operational efficiencies, enhance retention and engagement, and ultimately, fully integrate CareLinx’ capabilities and network into the Sharecare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Reporting and Business Outlook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“CareLinx has shown impressive organic growth to date, and we believe Sharecare is well positioned to continue that trajectory. In fact, CareLinx can be sold into all three of our channels and we already have several of our health plan and provider customers actively looking for this type of solution,” said Justin Ferrero, president and CFO of Sharecare. “Ultimately, we believe this acquisition will expand our TAM by over $7 billion for home care and potentially over $100 billion if we expand further into home health.”</w:t>
      </w:r>
    </w:p>
    <w:p>
      <w:pPr>
        <w:sectPr>
          <w:pgSz w:w="11900" w:h="16838" w:orient="portrait"/>
          <w:cols w:equalWidth="0" w:num="1">
            <w:col w:w="11020"/>
          </w:cols>
          <w:pgMar w:left="440" w:top="121" w:right="439" w:bottom="1440" w:gutter="0" w:footer="0" w:header="0"/>
        </w:sectPr>
      </w:pPr>
    </w:p>
    <w:bookmarkStart w:id="11" w:name="page12"/>
    <w:bookmarkEnd w:id="1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year ended December 31, 2020, CareLinx reported revenue of approximately $5 million. CareLinx expects to report revenue of approximately $20 million for the year ended December 31, 2021 and grow revenue organically by at least 75% in 2022.</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Sharecare provided combined guidance for the full year 2021 on its earnings release, issued today, August 11, 2021, and will provide additional commentary on today’s earnings conference call.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Under the terms of the agreement, the transaction is valued at approximately $65 million, consisting of $54.6 million in cash and $10.4 million in Sharecare common stock.</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King &amp; Spalding LLP served as legal counsel to Sharecare and K&amp;L Gates LLP served as legal counsel to Carelinx. Oppenheimer &amp; Co. Inc. served as financial advisor to CareLinx.</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“forward-looking statements” within the meaning of the “safe harbor” provisions of the Private Securities Litigation Reform Act of 1995. Forward-looking statements are based on Sharecare’s current beliefs, assumptions and expectations, taking into account the information currently available to it. These statements are not statements of historical fact. You should not rely on these forward-looking statements as predictions of future events. Words such as “expect,” “estimate,” “project,” “forecast,” “anticipate,” “intend,” “plan,” “may,” “will,” “could,” “should,” “believes,” “predicts,” “potential,” “continue,” and similar expressions are intended to identify such forward-looking statements. These forward-looking statements include, without limitation, the expected benefits of the addition of CareLinx to Sharecare’s product offerings, Sharecare’s expectations regarding expansion of its total addressable market, CareLinx’s expected revenue for the year ended December 31, 2021 and CareLinx’s expected 2022 organic growth. These forward-looking statements are subject to various risks and uncertainties. Descriptions of some of the factors that could cause actual results to defer materially from these forward-looking statements are discussed in more detail in Sharecare’s filings with the SEC, including the Risk Factors section of the prospectus for Sharecare’s business combination filed with the SEC on June 3, 2021. Sharecare assumes no obligation to update or revise these forward-looking statements for any reason, or to update the reasons actual results could differ materially from those anticipated in these forward-looking statements, even if new information becomes available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CareLinx</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CareLinx is the nation’s leading technology platform of tech-enabled care providers, both clinical and non-medical, who can be dispatched on-demand to any location. The innovative CareLinx platform, including its Nurse OnDemand business, facilitates real-time care coordination driven by actionable data analytics across the care continuum in the post-acute care environment, leading to increased quality of care, better health outcomes, and significantly reduced total cost of care. Amplifying the efficacy of remote clinical care management teams, care providers dispatched through CareLinx, serve as</w:t>
      </w:r>
    </w:p>
    <w:p>
      <w:pPr>
        <w:sectPr>
          <w:pgSz w:w="11900" w:h="16838" w:orient="portrait"/>
          <w:cols w:equalWidth="0" w:num="1">
            <w:col w:w="11000"/>
          </w:cols>
          <w:pgMar w:left="440" w:top="274" w:right="45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clinician’s eyes, ears and arms, caring for patients in the home and in community-based settings across the U.S. To date, CareLinx has built a nationwide network of more than 450,000 tech-enabled, skilled and non-medical care providers, and the company works with several of the largest health plans and providers across the country as their trusted and scalable partner. Visit us at </w:t>
      </w:r>
      <w:r>
        <w:rPr>
          <w:rFonts w:ascii="Arial" w:cs="Arial" w:eastAsia="Arial" w:hAnsi="Arial"/>
          <w:sz w:val="17"/>
          <w:szCs w:val="17"/>
          <w:u w:val="single" w:color="auto"/>
          <w:color w:val="auto"/>
        </w:rPr>
        <w:t>https://www.carelinx.com/</w:t>
      </w:r>
      <w:r>
        <w:rPr>
          <w:rFonts w:ascii="Arial" w:cs="Arial" w:eastAsia="Arial" w:hAnsi="Arial"/>
          <w:sz w:val="17"/>
          <w:szCs w:val="17"/>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Sharecare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Sharecare is the leading digital health company that helps people – no matter where they are in their health journey – unify and manage all their health in one place. Our comprehensive and data-driven virtual health platform is designed to help people, providers, employers, health plans, government organizations, and communities optimize individual and population-wide well-being by driving positive behavior change. Driven by our philosophy that we are all together better, at Sharecare, we are committed to supporting each individual through the lens of their personal health and making high-quality care more accessible and affordable for everyone. To learn more, visit </w:t>
      </w:r>
      <w:r>
        <w:rPr>
          <w:rFonts w:ascii="Arial" w:cs="Arial" w:eastAsia="Arial" w:hAnsi="Arial"/>
          <w:sz w:val="17"/>
          <w:szCs w:val="17"/>
          <w:u w:val="single" w:color="auto"/>
          <w:color w:val="auto"/>
        </w:rPr>
        <w:t>www.sharecare.com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 Martin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jen@sharecare.com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Bob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Bob.east@westwicke.com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443-450-4189</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4"/>
    </w:lvl>
  </w:abstractNum>
  <w:abstractNum w:abstractNumId="7">
    <w:nsid w:val="515F007C"/>
    <w:multiLevelType w:val="hybridMultilevel"/>
    <w:lvl w:ilvl="0">
      <w:lvlJc w:val="left"/>
      <w:lvlText w:val="(%1)"/>
      <w:numFmt w:val="lowerRoman"/>
      <w:start w:val="8"/>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2021-08-11T06:15:09Z</dcterms:created>
  <dcterms:modified xsi:type="dcterms:W3CDTF">2021-08-11T06:15:09Z</dcterms:modified>
</cp:coreProperties>
</file>