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1040" w:right="150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Commission File Number: 001-39535</w:t>
      </w:r>
    </w:p>
    <w:p>
      <w:pPr>
        <w:spacing w:after="0" w:line="200"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32"/>
          <w:szCs w:val="32"/>
          <w:b w:val="1"/>
          <w:bCs w:val="1"/>
          <w:color w:val="auto"/>
        </w:rPr>
        <w:t>SHARECARE, INC.</w:t>
      </w:r>
    </w:p>
    <w:p>
      <w:pPr>
        <w:spacing w:after="0" w:line="45"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255 East Paces Ferry Road NE, Suite 700</w:t>
      </w:r>
    </w:p>
    <w:p>
      <w:pPr>
        <w:spacing w:after="0" w:line="31"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Atlanta, Georgia 30305</w:t>
      </w:r>
    </w:p>
    <w:p>
      <w:pPr>
        <w:spacing w:after="0" w:line="9"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(404) 671-4000</w:t>
      </w:r>
    </w:p>
    <w:p>
      <w:pPr>
        <w:spacing w:after="0" w:line="9"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3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Warrants, each warrant exercisable for one share of common stock, each at an exercise price of $11.50 per</w:t>
      </w:r>
    </w:p>
    <w:p>
      <w:pPr>
        <w:spacing w:after="0" w:line="9"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9"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7"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172"/>
          </w:cols>
          <w:pgMar w:left="328" w:top="853" w:right="399" w:bottom="1440" w:gutter="0" w:footer="0" w:header="0"/>
        </w:sectPr>
      </w:pPr>
    </w:p>
    <w:p>
      <w:pPr>
        <w:spacing w:after="0" w:line="196"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7"/>
          <w:szCs w:val="17"/>
          <w:color w:val="auto"/>
        </w:rPr>
        <w:t>Rule 12g-4(a)(1)</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9312" w:space="720"/>
            <w:col w:w="1140"/>
          </w:cols>
          <w:pgMar w:left="328" w:top="853" w:right="399" w:bottom="1440" w:gutter="0" w:footer="0" w:header="0"/>
          <w:type w:val="continuous"/>
        </w:sectPr>
      </w:pPr>
    </w:p>
    <w:p>
      <w:pPr>
        <w:spacing w:after="0" w:line="8"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7"/>
          <w:szCs w:val="17"/>
          <w:color w:val="auto"/>
        </w:rPr>
        <w:t>Rule 12g-4(a)(2)</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2">
            <w:col w:w="9312" w:space="720"/>
            <w:col w:w="1140"/>
          </w:cols>
          <w:pgMar w:left="328" w:top="853" w:right="399" w:bottom="1440" w:gutter="0" w:footer="0" w:header="0"/>
          <w:type w:val="continuous"/>
        </w:sectPr>
      </w:pPr>
    </w:p>
    <w:p>
      <w:pPr>
        <w:spacing w:after="0" w:line="8"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7"/>
          <w:szCs w:val="17"/>
          <w:color w:val="auto"/>
        </w:rPr>
        <w:t>Rule 12h-3(b)(1)(i)</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2">
            <w:col w:w="9312" w:space="720"/>
            <w:col w:w="1140"/>
          </w:cols>
          <w:pgMar w:left="328" w:top="853" w:right="399" w:bottom="1440" w:gutter="0" w:footer="0" w:header="0"/>
          <w:type w:val="continuous"/>
        </w:sectPr>
      </w:pPr>
    </w:p>
    <w:p>
      <w:pPr>
        <w:spacing w:after="0" w:line="8"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7"/>
          <w:szCs w:val="17"/>
          <w:color w:val="auto"/>
        </w:rPr>
        <w:t>Rule 12h-3(b)(1)(ii)</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2">
            <w:col w:w="9312" w:space="720"/>
            <w:col w:w="1140"/>
          </w:cols>
          <w:pgMar w:left="328" w:top="853" w:right="399" w:bottom="1440" w:gutter="0" w:footer="0" w:header="0"/>
          <w:type w:val="continuous"/>
        </w:sectPr>
      </w:pPr>
    </w:p>
    <w:p>
      <w:pPr>
        <w:spacing w:after="0" w:line="8"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7"/>
          <w:szCs w:val="17"/>
          <w:color w:val="auto"/>
        </w:rPr>
        <w:t>Rule 15d-6</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2">
            <w:col w:w="9312" w:space="720"/>
            <w:col w:w="1140"/>
          </w:cols>
          <w:pgMar w:left="328" w:top="853" w:right="399" w:bottom="1440" w:gutter="0" w:footer="0" w:header="0"/>
          <w:type w:val="continuous"/>
        </w:sectPr>
      </w:pPr>
    </w:p>
    <w:p>
      <w:pPr>
        <w:spacing w:after="0" w:line="8"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7"/>
          <w:szCs w:val="17"/>
          <w:color w:val="auto"/>
        </w:rPr>
        <w:t>Rule 15d-22(b)</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2">
            <w:col w:w="9312" w:space="720"/>
            <w:col w:w="1140"/>
          </w:cols>
          <w:pgMar w:left="328" w:top="853" w:right="399" w:bottom="1440" w:gutter="0" w:footer="0" w:header="0"/>
          <w:type w:val="continuous"/>
        </w:sectPr>
      </w:pPr>
    </w:p>
    <w:p>
      <w:pPr>
        <w:spacing w:after="0" w:line="64" w:lineRule="exact"/>
        <w:rPr>
          <w:sz w:val="24"/>
          <w:szCs w:val="24"/>
          <w:color w:val="auto"/>
        </w:rPr>
      </w:pPr>
    </w:p>
    <w:p>
      <w:pPr>
        <w:ind w:left="652"/>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Common stock: 1*</w:t>
      </w:r>
    </w:p>
    <w:p>
      <w:pPr>
        <w:spacing w:after="0" w:line="39" w:lineRule="exact"/>
        <w:rPr>
          <w:sz w:val="24"/>
          <w:szCs w:val="24"/>
          <w:color w:val="auto"/>
        </w:rPr>
      </w:pPr>
    </w:p>
    <w:p>
      <w:pPr>
        <w:ind w:left="6472"/>
        <w:spacing w:after="0"/>
        <w:rPr>
          <w:sz w:val="20"/>
          <w:szCs w:val="20"/>
          <w:color w:val="auto"/>
        </w:rPr>
      </w:pPr>
      <w:r>
        <w:rPr>
          <w:rFonts w:ascii="Times New Roman" w:cs="Times New Roman" w:eastAsia="Times New Roman" w:hAnsi="Times New Roman"/>
          <w:sz w:val="18"/>
          <w:szCs w:val="18"/>
          <w:color w:val="auto"/>
        </w:rPr>
        <w:t>Warrants: 33</w:t>
      </w:r>
    </w:p>
    <w:p>
      <w:pPr>
        <w:sectPr>
          <w:pgSz w:w="11900" w:h="16838" w:orient="portrait"/>
          <w:cols w:equalWidth="0" w:num="1">
            <w:col w:w="11172"/>
          </w:cols>
          <w:pgMar w:left="328" w:top="853" w:right="3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8" w:firstLine="8"/>
        <w:spacing w:after="0" w:line="261" w:lineRule="auto"/>
        <w:tabs>
          <w:tab w:leader="none" w:pos="1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2024, Sharecare, Inc., Impact Acquiror Inc., a Delaware corporation (“Parent”), and Impact Merger Sub Inc., a Delaware corporation and a wholly owned subsidiary of Parent (“Merger Sub”), completed the transactions contemplated by the previously announced Agreement and Plan of Merger, dated as of June 21, 2024 (the “Merger Agreement”) by and among the Company, Parent and Merger Sub. Pursuant to the Merger Agreement, at the effective time of the meger, Merger Sub merged with and into the Company, with Sharecare, Inc. surviving the merger as a subsidiary of Parent.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665480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853" w:right="399" w:bottom="1440" w:gutter="0" w:footer="0" w:header="0"/>
          <w:type w:val="continuous"/>
        </w:sectPr>
      </w:pPr>
    </w:p>
    <w:bookmarkStart w:id="1" w:name="page2"/>
    <w:bookmarkEnd w:id="1"/>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Sharecare,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SHARECARE,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Carrie Ratliff</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Carrie Ratliff</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2024-11-04T12:35:11Z</dcterms:created>
  <dcterms:modified xsi:type="dcterms:W3CDTF">2024-11-04T12:35:11Z</dcterms:modified>
</cp:coreProperties>
</file>